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898" w:rsidRPr="003C4898" w:rsidRDefault="003C4898" w:rsidP="003C4898">
      <w:pPr>
        <w:outlineLvl w:val="1"/>
        <w:rPr>
          <w:rFonts w:ascii="Verdana" w:eastAsia="Times New Roman" w:hAnsi="Verdana" w:cs="Times New Roman"/>
          <w:b/>
          <w:bCs/>
          <w:color w:val="000000"/>
          <w:kern w:val="36"/>
          <w:sz w:val="20"/>
          <w:szCs w:val="19"/>
          <w:lang w:eastAsia="it-IT"/>
        </w:rPr>
      </w:pPr>
      <w:r w:rsidRPr="003C4898">
        <w:rPr>
          <w:rFonts w:ascii="Verdana" w:eastAsia="Times New Roman" w:hAnsi="Verdana" w:cs="Times New Roman"/>
          <w:b/>
          <w:bCs/>
          <w:color w:val="000000"/>
          <w:kern w:val="36"/>
          <w:sz w:val="20"/>
          <w:szCs w:val="19"/>
          <w:lang w:eastAsia="it-IT"/>
        </w:rPr>
        <w:t xml:space="preserve">SALE PER GIOCHI LECITI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L'esercizio di una sala pubblica per bigliardi o per altri giochi leciti, definita convenzionalmente sala-giochi. è subordinato a licenza ai sensi dell'art. 86 del T.U.L.P.S. approvato con R.D. 18 giugno 1931, n. 773.</w:t>
      </w:r>
      <w:r w:rsidRPr="003C4898">
        <w:rPr>
          <w:rFonts w:ascii="Verdana" w:eastAsia="Times New Roman" w:hAnsi="Verdana" w:cs="Times New Roman"/>
          <w:sz w:val="16"/>
          <w:szCs w:val="16"/>
          <w:lang w:eastAsia="it-IT"/>
        </w:rPr>
        <w:br/>
      </w:r>
      <w:bookmarkStart w:id="0" w:name="_GoBack"/>
      <w:bookmarkEnd w:id="0"/>
      <w:r w:rsidRPr="003C4898">
        <w:rPr>
          <w:rFonts w:ascii="Verdana" w:eastAsia="Times New Roman" w:hAnsi="Verdana" w:cs="Times New Roman"/>
          <w:sz w:val="16"/>
          <w:szCs w:val="16"/>
          <w:lang w:eastAsia="it-IT"/>
        </w:rPr>
        <w:br/>
        <w:t>I giochi di cui all’art. 110, comma 6, del TULPS sono:</w:t>
      </w:r>
      <w:r w:rsidRPr="003C4898">
        <w:rPr>
          <w:rFonts w:ascii="Verdana" w:eastAsia="Times New Roman" w:hAnsi="Verdana" w:cs="Times New Roman"/>
          <w:sz w:val="16"/>
          <w:szCs w:val="16"/>
          <w:lang w:eastAsia="it-IT"/>
        </w:rPr>
        <w:br/>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a) apparecchi - collegati in rete - detti anche “slot machine” in quanto distribuiscono vincite in denaro</w:t>
      </w:r>
      <w:r w:rsidRPr="003C4898">
        <w:rPr>
          <w:rFonts w:ascii="Verdana" w:eastAsia="Times New Roman" w:hAnsi="Verdana" w:cs="Times New Roman"/>
          <w:sz w:val="16"/>
          <w:szCs w:val="16"/>
          <w:lang w:eastAsia="it-IT"/>
        </w:rPr>
        <w:br/>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xml:space="preserve">. b) apparecchi VLT il cui sistema di gioco è disciplinato dal </w:t>
      </w:r>
      <w:proofErr w:type="spellStart"/>
      <w:r w:rsidRPr="003C4898">
        <w:rPr>
          <w:rFonts w:ascii="Verdana" w:eastAsia="Times New Roman" w:hAnsi="Verdana" w:cs="Times New Roman"/>
          <w:sz w:val="16"/>
          <w:szCs w:val="16"/>
          <w:lang w:eastAsia="it-IT"/>
        </w:rPr>
        <w:t>D.Dirett</w:t>
      </w:r>
      <w:proofErr w:type="spellEnd"/>
      <w:r w:rsidRPr="003C4898">
        <w:rPr>
          <w:rFonts w:ascii="Verdana" w:eastAsia="Times New Roman" w:hAnsi="Verdana" w:cs="Times New Roman"/>
          <w:sz w:val="16"/>
          <w:szCs w:val="16"/>
          <w:lang w:eastAsia="it-IT"/>
        </w:rPr>
        <w:t>. 22.1.2010, che prevede vincite in denaro</w:t>
      </w:r>
      <w:r w:rsidRPr="003C4898">
        <w:rPr>
          <w:rFonts w:ascii="Verdana" w:eastAsia="Times New Roman" w:hAnsi="Verdana" w:cs="Times New Roman"/>
          <w:sz w:val="16"/>
          <w:szCs w:val="16"/>
          <w:lang w:eastAsia="it-IT"/>
        </w:rPr>
        <w:br/>
      </w:r>
      <w:r w:rsidRPr="003C4898">
        <w:rPr>
          <w:rFonts w:ascii="Verdana" w:eastAsia="Times New Roman" w:hAnsi="Verdana" w:cs="Times New Roman"/>
          <w:sz w:val="16"/>
          <w:szCs w:val="16"/>
          <w:lang w:eastAsia="it-IT"/>
        </w:rPr>
        <w:br/>
        <w:t>I giochi di cui all’art. 110, comma 7, del TULPS sono:</w:t>
      </w:r>
      <w:r w:rsidRPr="003C4898">
        <w:rPr>
          <w:rFonts w:ascii="Verdana" w:eastAsia="Times New Roman" w:hAnsi="Verdana" w:cs="Times New Roman"/>
          <w:sz w:val="16"/>
          <w:szCs w:val="16"/>
          <w:lang w:eastAsia="it-IT"/>
        </w:rPr>
        <w:br/>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a) apparecchi da intrattenimento privi di monitor (gru meccaniche,, etc.) che erogano premi consistenti in piccoli oggetti </w:t>
      </w:r>
      <w:r w:rsidRPr="003C4898">
        <w:rPr>
          <w:rFonts w:ascii="Verdana" w:eastAsia="Times New Roman" w:hAnsi="Verdana" w:cs="Times New Roman"/>
          <w:sz w:val="16"/>
          <w:szCs w:val="16"/>
          <w:lang w:eastAsia="it-IT"/>
        </w:rPr>
        <w:br/>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c) apparecchi noti come “videogiochi” che non consentono nessuna vincita nemmeno in natura</w:t>
      </w:r>
      <w:r w:rsidRPr="003C4898">
        <w:rPr>
          <w:rFonts w:ascii="Verdana" w:eastAsia="Times New Roman" w:hAnsi="Verdana" w:cs="Times New Roman"/>
          <w:sz w:val="16"/>
          <w:szCs w:val="16"/>
          <w:lang w:eastAsia="it-IT"/>
        </w:rPr>
        <w:br/>
        <w:t>Per l’apertura di un punto esclusivo SALA GIOCHI occorre presentare una S.C.I.A. con le dichiarazioni del numero dei giochi installabili in relazione alla superficie del locale in base ai Decreti Direttoriali del 2007 e del 2011, nonché del rispetto delle contestualità con altre tipologie di giochi non compresi nell’art. 110 commi 6 e 7 del TULPS. Inoltre deve essere allegata la Relazione di Impatto Acustico di cui al Regolamento approvato con atto C.C. n. 245 del 22.12.2005, modificato con atto C.C. n. 169 del 27.9.2007), redatta in base alla SCHEDA DO.IM.A. 169/2007;</w:t>
      </w:r>
      <w:r w:rsidRPr="003C4898">
        <w:rPr>
          <w:rFonts w:ascii="Verdana" w:eastAsia="Times New Roman" w:hAnsi="Verdana" w:cs="Times New Roman"/>
          <w:sz w:val="16"/>
          <w:szCs w:val="16"/>
          <w:lang w:eastAsia="it-IT"/>
        </w:rPr>
        <w:br/>
        <w:t>La S.C.I.A. per la detenzione degli apparecchi di cui all’art. 110, comma 6 e 7, del TULPS e per gli atri giochi elettromeccanici va effettuata da parte di coloro che sono titolari di esercizi commerciali o altre aree aperte al pubblico, e precisamente:</w:t>
      </w:r>
      <w:r w:rsidRPr="003C4898">
        <w:rPr>
          <w:rFonts w:ascii="Verdana" w:eastAsia="Times New Roman" w:hAnsi="Verdana" w:cs="Times New Roman"/>
          <w:sz w:val="16"/>
          <w:szCs w:val="16"/>
          <w:lang w:eastAsia="it-IT"/>
        </w:rPr>
        <w:br/>
        <w:t xml:space="preserve">Esercizi commerciali al dettaglio, Edicole (art. 3, comma 4, </w:t>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xml:space="preserve">. e) </w:t>
      </w:r>
      <w:proofErr w:type="spellStart"/>
      <w:r w:rsidRPr="003C4898">
        <w:rPr>
          <w:rFonts w:ascii="Verdana" w:eastAsia="Times New Roman" w:hAnsi="Verdana" w:cs="Times New Roman"/>
          <w:sz w:val="16"/>
          <w:szCs w:val="16"/>
          <w:lang w:eastAsia="it-IT"/>
        </w:rPr>
        <w:t>D.Dirett</w:t>
      </w:r>
      <w:proofErr w:type="spellEnd"/>
      <w:r w:rsidRPr="003C4898">
        <w:rPr>
          <w:rFonts w:ascii="Verdana" w:eastAsia="Times New Roman" w:hAnsi="Verdana" w:cs="Times New Roman"/>
          <w:sz w:val="16"/>
          <w:szCs w:val="16"/>
          <w:lang w:eastAsia="it-IT"/>
        </w:rPr>
        <w:t xml:space="preserve">. 27.7.2011), Aree aperte al pubblico (art. 3, comma, 4 </w:t>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xml:space="preserve">. f </w:t>
      </w:r>
      <w:proofErr w:type="spellStart"/>
      <w:r w:rsidRPr="003C4898">
        <w:rPr>
          <w:rFonts w:ascii="Verdana" w:eastAsia="Times New Roman" w:hAnsi="Verdana" w:cs="Times New Roman"/>
          <w:sz w:val="16"/>
          <w:szCs w:val="16"/>
          <w:lang w:eastAsia="it-IT"/>
        </w:rPr>
        <w:t>D.Dirett</w:t>
      </w:r>
      <w:proofErr w:type="spellEnd"/>
      <w:r w:rsidRPr="003C4898">
        <w:rPr>
          <w:rFonts w:ascii="Verdana" w:eastAsia="Times New Roman" w:hAnsi="Verdana" w:cs="Times New Roman"/>
          <w:sz w:val="16"/>
          <w:szCs w:val="16"/>
          <w:lang w:eastAsia="it-IT"/>
        </w:rPr>
        <w:t xml:space="preserve">. 27.7.2011), Circoli Privati (art. 3, comma 4, </w:t>
      </w:r>
      <w:proofErr w:type="spellStart"/>
      <w:r w:rsidRPr="003C4898">
        <w:rPr>
          <w:rFonts w:ascii="Verdana" w:eastAsia="Times New Roman" w:hAnsi="Verdana" w:cs="Times New Roman"/>
          <w:sz w:val="16"/>
          <w:szCs w:val="16"/>
          <w:lang w:eastAsia="it-IT"/>
        </w:rPr>
        <w:t>lett</w:t>
      </w:r>
      <w:proofErr w:type="spellEnd"/>
      <w:r w:rsidRPr="003C4898">
        <w:rPr>
          <w:rFonts w:ascii="Verdana" w:eastAsia="Times New Roman" w:hAnsi="Verdana" w:cs="Times New Roman"/>
          <w:sz w:val="16"/>
          <w:szCs w:val="16"/>
          <w:lang w:eastAsia="it-IT"/>
        </w:rPr>
        <w:t xml:space="preserve">. f </w:t>
      </w:r>
      <w:proofErr w:type="spellStart"/>
      <w:r w:rsidRPr="003C4898">
        <w:rPr>
          <w:rFonts w:ascii="Verdana" w:eastAsia="Times New Roman" w:hAnsi="Verdana" w:cs="Times New Roman"/>
          <w:sz w:val="16"/>
          <w:szCs w:val="16"/>
          <w:lang w:eastAsia="it-IT"/>
        </w:rPr>
        <w:t>D.Dirett</w:t>
      </w:r>
      <w:proofErr w:type="spellEnd"/>
      <w:r w:rsidRPr="003C4898">
        <w:rPr>
          <w:rFonts w:ascii="Verdana" w:eastAsia="Times New Roman" w:hAnsi="Verdana" w:cs="Times New Roman"/>
          <w:sz w:val="16"/>
          <w:szCs w:val="16"/>
          <w:lang w:eastAsia="it-IT"/>
        </w:rPr>
        <w:t>. 27.7.2011 - senza attività di somministrazione ai soci, o in locali diversi da quello della somministrazione).</w:t>
      </w:r>
      <w:r w:rsidRPr="003C4898">
        <w:rPr>
          <w:rFonts w:ascii="Verdana" w:eastAsia="Times New Roman" w:hAnsi="Verdana" w:cs="Times New Roman"/>
          <w:sz w:val="16"/>
          <w:szCs w:val="16"/>
          <w:lang w:eastAsia="it-IT"/>
        </w:rPr>
        <w:br/>
        <w:t>Gli esercizi identificati Pubblici Esercizi ai sensi dell’art. 86, quali BAR ed esercizi similari, RISTORANTE ed esercizi similari, ALBERGO ed esercizi similari, CIRCOLI PRIVATI di cui al DPR n. 235/2001 con riferimento al locale destinato alla somministrazione di alimenti e bevande ai soci, nonché l’ AGENZIA di raccolta scommesse ippiche e sportive e gli ESERCIZI DI RACCOLTA SCOMMESSE di cui all’art. 88 del TULPS, sono autorizzati all’installazione degli apparecchi in virtù dell’autorizzazione già in loro possesso per l’attività principale, rispettando il numero dei giochi installabili in relazione alla superficie del locale in base ai Decreti Direttoriali del 2007 e del 2011, e la contestualità con altre tipologie di giochi non compresi nell’art. 110, commi 6 e 7, del TULPS.</w:t>
      </w:r>
      <w:r w:rsidRPr="003C4898">
        <w:rPr>
          <w:rFonts w:ascii="Verdana" w:eastAsia="Times New Roman" w:hAnsi="Verdana" w:cs="Times New Roman"/>
          <w:sz w:val="16"/>
          <w:szCs w:val="16"/>
          <w:lang w:eastAsia="it-IT"/>
        </w:rPr>
        <w:br/>
        <w:t>Si ricorda l’obbligo dell’esposizione in luogo visibile della tabella dei giochi proibiti, approvata dal Questore e vidimata dal Comune, ai sensi dell’art. 110, 1° comma, del TULPS</w:t>
      </w:r>
      <w:r w:rsidRPr="003C4898">
        <w:rPr>
          <w:rFonts w:ascii="Verdana" w:eastAsia="Times New Roman" w:hAnsi="Verdana" w:cs="Times New Roman"/>
          <w:sz w:val="16"/>
          <w:szCs w:val="16"/>
          <w:lang w:eastAsia="it-IT"/>
        </w:rPr>
        <w:br/>
        <w:t>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b/>
          <w:bCs/>
          <w:sz w:val="16"/>
          <w:szCs w:val="16"/>
          <w:lang w:eastAsia="it-IT"/>
        </w:rPr>
        <w:t>REQUISITI</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1) Possesso dei requisiti morali previsti dal TULPS</w:t>
      </w:r>
      <w:r w:rsidRPr="003C4898">
        <w:rPr>
          <w:rFonts w:ascii="Verdana" w:eastAsia="Times New Roman" w:hAnsi="Verdana" w:cs="Times New Roman"/>
          <w:sz w:val="16"/>
          <w:szCs w:val="16"/>
          <w:lang w:eastAsia="it-IT"/>
        </w:rPr>
        <w:br/>
        <w:t>2) Disponibilità del locale da destinarsi all'esercizio dell'attività</w:t>
      </w:r>
      <w:r w:rsidRPr="003C4898">
        <w:rPr>
          <w:rFonts w:ascii="Verdana" w:eastAsia="Times New Roman" w:hAnsi="Verdana" w:cs="Times New Roman"/>
          <w:sz w:val="16"/>
          <w:szCs w:val="16"/>
          <w:lang w:eastAsia="it-IT"/>
        </w:rPr>
        <w:br/>
        <w:t>3) Conformità del locale alle norme edilizie, sanitarie e di sicurezza</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b/>
          <w:bCs/>
          <w:sz w:val="16"/>
          <w:szCs w:val="16"/>
          <w:lang w:eastAsia="it-IT"/>
        </w:rPr>
        <w:t>MODALITA'</w:t>
      </w:r>
      <w:r w:rsidRPr="003C4898">
        <w:rPr>
          <w:rFonts w:ascii="Verdana" w:eastAsia="Times New Roman" w:hAnsi="Verdana" w:cs="Times New Roman"/>
          <w:b/>
          <w:bCs/>
          <w:sz w:val="16"/>
          <w:szCs w:val="16"/>
          <w:lang w:eastAsia="it-IT"/>
        </w:rPr>
        <w:br/>
      </w:r>
      <w:r w:rsidRPr="003C4898">
        <w:rPr>
          <w:rFonts w:ascii="Verdana" w:eastAsia="Times New Roman" w:hAnsi="Verdana" w:cs="Times New Roman"/>
          <w:sz w:val="16"/>
          <w:szCs w:val="16"/>
          <w:lang w:eastAsia="it-IT"/>
        </w:rPr>
        <w:t xml:space="preserve">Occorre inviare la SCIA indirizzata alla </w:t>
      </w:r>
      <w:proofErr w:type="spellStart"/>
      <w:r w:rsidRPr="003C4898">
        <w:rPr>
          <w:rFonts w:ascii="Verdana" w:eastAsia="Times New Roman" w:hAnsi="Verdana" w:cs="Times New Roman"/>
          <w:sz w:val="16"/>
          <w:szCs w:val="16"/>
          <w:lang w:eastAsia="it-IT"/>
        </w:rPr>
        <w:t>pec</w:t>
      </w:r>
      <w:proofErr w:type="spellEnd"/>
      <w:r w:rsidRPr="003C4898">
        <w:rPr>
          <w:rFonts w:ascii="Verdana" w:eastAsia="Times New Roman" w:hAnsi="Verdana" w:cs="Times New Roman"/>
          <w:sz w:val="16"/>
          <w:szCs w:val="16"/>
          <w:lang w:eastAsia="it-IT"/>
        </w:rPr>
        <w:t xml:space="preserve"> del SUAP Unione Pedemontana Parmense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La SCIA deve contenere:</w:t>
      </w:r>
      <w:r w:rsidRPr="003C4898">
        <w:rPr>
          <w:rFonts w:ascii="Verdana" w:eastAsia="Times New Roman" w:hAnsi="Verdana" w:cs="Times New Roman"/>
          <w:sz w:val="16"/>
          <w:szCs w:val="16"/>
          <w:lang w:eastAsia="it-IT"/>
        </w:rPr>
        <w:br/>
        <w:t>· le generalità, la data e il luogo di nascita ed il codice fiscale;</w:t>
      </w:r>
      <w:r w:rsidRPr="003C4898">
        <w:rPr>
          <w:rFonts w:ascii="Verdana" w:eastAsia="Times New Roman" w:hAnsi="Verdana" w:cs="Times New Roman"/>
          <w:sz w:val="16"/>
          <w:szCs w:val="16"/>
          <w:lang w:eastAsia="it-IT"/>
        </w:rPr>
        <w:br/>
        <w:t>· la residenza;</w:t>
      </w:r>
      <w:r w:rsidRPr="003C4898">
        <w:rPr>
          <w:rFonts w:ascii="Verdana" w:eastAsia="Times New Roman" w:hAnsi="Verdana" w:cs="Times New Roman"/>
          <w:sz w:val="16"/>
          <w:szCs w:val="16"/>
          <w:lang w:eastAsia="it-IT"/>
        </w:rPr>
        <w:br/>
        <w:t>· recapito telefonico;</w:t>
      </w:r>
      <w:r w:rsidRPr="003C4898">
        <w:rPr>
          <w:rFonts w:ascii="Verdana" w:eastAsia="Times New Roman" w:hAnsi="Verdana" w:cs="Times New Roman"/>
          <w:sz w:val="16"/>
          <w:szCs w:val="16"/>
          <w:lang w:eastAsia="it-IT"/>
        </w:rPr>
        <w:br/>
        <w:t>· estremi della società che si rappresenta;</w:t>
      </w:r>
      <w:r w:rsidRPr="003C4898">
        <w:rPr>
          <w:rFonts w:ascii="Verdana" w:eastAsia="Times New Roman" w:hAnsi="Verdana" w:cs="Times New Roman"/>
          <w:sz w:val="16"/>
          <w:szCs w:val="16"/>
          <w:lang w:eastAsia="it-IT"/>
        </w:rPr>
        <w:br/>
        <w:t>· indicazione dei giochi leciti e degli apparecchi e congegni elettromagnetici per il gioco lecito che si intende installare nella sala giochi.</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b/>
          <w:bCs/>
          <w:sz w:val="16"/>
          <w:szCs w:val="16"/>
          <w:lang w:eastAsia="it-IT"/>
        </w:rPr>
        <w:br/>
        <w:t>DOCUMENTI DA PRESENTARE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Dichiarazione/nulla osta dell’amministratore dello stabile attestante che l’attività è compatibile con il Regolamento Condominiale;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xml:space="preserve">- planimetria in scala 1:100 dei locali con esatta indicazione della collocazione dei giochi;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documentazione comprovante che i locali sono provvisti di impianto elettrico e di attrezzature adeguate alle norme vigenti (nel caso in cui il locale abbia una capienza inferiore alle 100 persone);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xml:space="preserve">- copia del parere di conformità antincendio rilasciato dal Comando Provinciale VV.F. in data …………. o della domanda di parere di conformità antincendio presentata in data ……….. al Comando Provinciale VV.F. (nel caso in cui il locale abbia una capienza pari o superiore alle 100 persone);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xml:space="preserve">- documentazione comprovante che i locali sono adeguati alle misure previste per ridurre o eliminare le emissioni sonore causate dall'attività o dagli impianti, secondo quanto previsto dalla normativa in materia di inquinamento acustico (relazione di impatto acustico redatta da un tecnico competente) </w:t>
      </w:r>
      <w:r w:rsidRPr="003C4898">
        <w:rPr>
          <w:rFonts w:ascii="Verdana" w:eastAsia="Times New Roman" w:hAnsi="Verdana" w:cs="Times New Roman"/>
          <w:i/>
          <w:iCs/>
          <w:sz w:val="16"/>
          <w:szCs w:val="16"/>
          <w:lang w:eastAsia="it-IT"/>
        </w:rPr>
        <w:t>oppure</w:t>
      </w:r>
      <w:r w:rsidRPr="003C4898">
        <w:rPr>
          <w:rFonts w:ascii="Verdana" w:eastAsia="Times New Roman" w:hAnsi="Verdana" w:cs="Times New Roman"/>
          <w:sz w:val="16"/>
          <w:szCs w:val="16"/>
          <w:lang w:eastAsia="it-IT"/>
        </w:rPr>
        <w:t xml:space="preserve"> la dichiarazione sostitutiva di atto notorio ai sensi dell'art. 38 DPR 445/2000</w:t>
      </w:r>
      <w:r w:rsidRPr="003C4898">
        <w:rPr>
          <w:rFonts w:ascii="Verdana" w:eastAsia="Times New Roman" w:hAnsi="Verdana" w:cs="Times New Roman"/>
          <w:i/>
          <w:iCs/>
          <w:sz w:val="16"/>
          <w:szCs w:val="16"/>
          <w:lang w:eastAsia="it-IT"/>
        </w:rPr>
        <w:t xml:space="preserve"> </w:t>
      </w:r>
      <w:r w:rsidRPr="003C4898">
        <w:rPr>
          <w:rFonts w:ascii="Verdana" w:eastAsia="Times New Roman" w:hAnsi="Verdana" w:cs="Times New Roman"/>
          <w:sz w:val="16"/>
          <w:szCs w:val="16"/>
          <w:lang w:eastAsia="it-IT"/>
        </w:rPr>
        <w:t>attestante che l’attività non prevede la presenza di sorgenti sonore significative;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documentazione comprovante la conformità edilizia ed agibilità del locale.</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xml:space="preserve">- “Dichiarazione di altre persone (amministratori, soci) indicate all’art. 2 del D.P.R. 252/1998” (In caso di domanda presentata da una Società: per S.n.c.: tutti i soci: per S.p.A., S.a.s., </w:t>
      </w:r>
      <w:proofErr w:type="spellStart"/>
      <w:r w:rsidRPr="003C4898">
        <w:rPr>
          <w:rFonts w:ascii="Verdana" w:eastAsia="Times New Roman" w:hAnsi="Verdana" w:cs="Times New Roman"/>
          <w:sz w:val="16"/>
          <w:szCs w:val="16"/>
          <w:lang w:eastAsia="it-IT"/>
        </w:rPr>
        <w:t>S.a.p.A</w:t>
      </w:r>
      <w:proofErr w:type="spellEnd"/>
      <w:r w:rsidRPr="003C4898">
        <w:rPr>
          <w:rFonts w:ascii="Verdana" w:eastAsia="Times New Roman" w:hAnsi="Verdana" w:cs="Times New Roman"/>
          <w:sz w:val="16"/>
          <w:szCs w:val="16"/>
          <w:lang w:eastAsia="it-IT"/>
        </w:rPr>
        <w:t xml:space="preserve">., S.r.l.: tutti i legali rappresentanti). </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xml:space="preserve">- criteri </w:t>
      </w:r>
      <w:proofErr w:type="spellStart"/>
      <w:r w:rsidRPr="003C4898">
        <w:rPr>
          <w:rFonts w:ascii="Verdana" w:eastAsia="Times New Roman" w:hAnsi="Verdana" w:cs="Times New Roman"/>
          <w:sz w:val="16"/>
          <w:szCs w:val="16"/>
          <w:lang w:eastAsia="it-IT"/>
        </w:rPr>
        <w:t>sorveglibilità</w:t>
      </w:r>
      <w:proofErr w:type="spellEnd"/>
      <w:r w:rsidRPr="003C4898">
        <w:rPr>
          <w:rFonts w:ascii="Verdana" w:eastAsia="Times New Roman" w:hAnsi="Verdana" w:cs="Times New Roman"/>
          <w:sz w:val="16"/>
          <w:szCs w:val="16"/>
          <w:lang w:eastAsia="it-IT"/>
        </w:rPr>
        <w:t xml:space="preserve"> pubblici esercizi</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contratto di affitto registrato;</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copia del permesso di soggiorno in corso di validità (per i cittadini extracomunitari).</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 Fotocopia del documento di identità in corso di validità dell’interessato, qualora l’istanza sia presentata a mezzo posta o da un terzo.</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b/>
          <w:bCs/>
          <w:sz w:val="16"/>
          <w:szCs w:val="16"/>
          <w:lang w:eastAsia="it-IT"/>
        </w:rPr>
        <w:br/>
        <w:t>MODULISTICA</w:t>
      </w: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lang w:eastAsia="it-IT"/>
        </w:rPr>
        <w:t>SCIA sala giochi</w:t>
      </w:r>
    </w:p>
    <w:p w:rsidR="003C4898" w:rsidRPr="003C4898" w:rsidRDefault="003C4898" w:rsidP="003C4898">
      <w:pPr>
        <w:rPr>
          <w:rFonts w:ascii="Verdana" w:eastAsia="Times New Roman" w:hAnsi="Verdana" w:cs="Times New Roman"/>
          <w:sz w:val="16"/>
          <w:szCs w:val="16"/>
          <w:lang w:eastAsia="it-IT"/>
        </w:rPr>
      </w:pPr>
    </w:p>
    <w:p w:rsidR="003C4898" w:rsidRPr="003C4898" w:rsidRDefault="003C4898" w:rsidP="003C4898">
      <w:pPr>
        <w:rPr>
          <w:rFonts w:ascii="Verdana" w:eastAsia="Times New Roman" w:hAnsi="Verdana" w:cs="Times New Roman"/>
          <w:sz w:val="16"/>
          <w:szCs w:val="16"/>
          <w:lang w:eastAsia="it-IT"/>
        </w:rPr>
      </w:pPr>
      <w:r w:rsidRPr="003C4898">
        <w:rPr>
          <w:rFonts w:ascii="Verdana" w:eastAsia="Times New Roman" w:hAnsi="Verdana" w:cs="Times New Roman"/>
          <w:sz w:val="16"/>
          <w:szCs w:val="16"/>
          <w:u w:val="single"/>
          <w:lang w:eastAsia="it-IT"/>
        </w:rPr>
        <w:t>Nota Bene</w:t>
      </w:r>
      <w:r w:rsidRPr="003C4898">
        <w:rPr>
          <w:rFonts w:ascii="Verdana" w:eastAsia="Times New Roman" w:hAnsi="Verdana" w:cs="Times New Roman"/>
          <w:sz w:val="16"/>
          <w:szCs w:val="16"/>
          <w:lang w:eastAsia="it-IT"/>
        </w:rPr>
        <w:br/>
        <w:t>E' possibile inserire all'interno di una sala giochi, l'attività di somministrazione alimenti e bevande (compilando altro modello di SCIA) sempre che la superficie destinata non sia superiore a quella prevalente di sala giochi.</w:t>
      </w:r>
    </w:p>
    <w:p w:rsidR="00057A9D" w:rsidRPr="003C4898" w:rsidRDefault="00057A9D" w:rsidP="003C4898"/>
    <w:sectPr w:rsidR="00057A9D" w:rsidRPr="003C4898" w:rsidSect="003C4898">
      <w:pgSz w:w="11906" w:h="16838"/>
      <w:pgMar w:top="851"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5D1"/>
    <w:rsid w:val="00057A9D"/>
    <w:rsid w:val="003C4898"/>
    <w:rsid w:val="007545D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28255">
      <w:bodyDiv w:val="1"/>
      <w:marLeft w:val="0"/>
      <w:marRight w:val="0"/>
      <w:marTop w:val="0"/>
      <w:marBottom w:val="0"/>
      <w:divBdr>
        <w:top w:val="none" w:sz="0" w:space="0" w:color="auto"/>
        <w:left w:val="none" w:sz="0" w:space="0" w:color="auto"/>
        <w:bottom w:val="none" w:sz="0" w:space="0" w:color="auto"/>
        <w:right w:val="none" w:sz="0" w:space="0" w:color="auto"/>
      </w:divBdr>
      <w:divsChild>
        <w:div w:id="601378892">
          <w:marLeft w:val="0"/>
          <w:marRight w:val="0"/>
          <w:marTop w:val="0"/>
          <w:marBottom w:val="0"/>
          <w:divBdr>
            <w:top w:val="none" w:sz="0" w:space="0" w:color="auto"/>
            <w:left w:val="none" w:sz="0" w:space="0" w:color="auto"/>
            <w:bottom w:val="none" w:sz="0" w:space="0" w:color="auto"/>
            <w:right w:val="none" w:sz="0" w:space="0" w:color="auto"/>
          </w:divBdr>
          <w:divsChild>
            <w:div w:id="1383599369">
              <w:marLeft w:val="0"/>
              <w:marRight w:val="0"/>
              <w:marTop w:val="0"/>
              <w:marBottom w:val="0"/>
              <w:divBdr>
                <w:top w:val="none" w:sz="0" w:space="0" w:color="auto"/>
                <w:left w:val="none" w:sz="0" w:space="0" w:color="auto"/>
                <w:bottom w:val="none" w:sz="0" w:space="0" w:color="auto"/>
                <w:right w:val="none" w:sz="0" w:space="0" w:color="auto"/>
              </w:divBdr>
              <w:divsChild>
                <w:div w:id="1077441953">
                  <w:marLeft w:val="2925"/>
                  <w:marRight w:val="2775"/>
                  <w:marTop w:val="0"/>
                  <w:marBottom w:val="0"/>
                  <w:divBdr>
                    <w:top w:val="none" w:sz="0" w:space="0" w:color="auto"/>
                    <w:left w:val="none" w:sz="0" w:space="0" w:color="auto"/>
                    <w:bottom w:val="none" w:sz="0" w:space="0" w:color="auto"/>
                    <w:right w:val="none" w:sz="0" w:space="0" w:color="auto"/>
                  </w:divBdr>
                  <w:divsChild>
                    <w:div w:id="1435831902">
                      <w:marLeft w:val="0"/>
                      <w:marRight w:val="0"/>
                      <w:marTop w:val="0"/>
                      <w:marBottom w:val="120"/>
                      <w:divBdr>
                        <w:top w:val="none" w:sz="0" w:space="0" w:color="auto"/>
                        <w:left w:val="none" w:sz="0" w:space="0" w:color="auto"/>
                        <w:bottom w:val="none" w:sz="0" w:space="0" w:color="auto"/>
                        <w:right w:val="none" w:sz="0" w:space="0" w:color="auto"/>
                      </w:divBdr>
                    </w:div>
                    <w:div w:id="533033680">
                      <w:marLeft w:val="0"/>
                      <w:marRight w:val="0"/>
                      <w:marTop w:val="0"/>
                      <w:marBottom w:val="0"/>
                      <w:divBdr>
                        <w:top w:val="none" w:sz="0" w:space="0" w:color="auto"/>
                        <w:left w:val="none" w:sz="0" w:space="0" w:color="auto"/>
                        <w:bottom w:val="none" w:sz="0" w:space="0" w:color="auto"/>
                        <w:right w:val="none" w:sz="0" w:space="0" w:color="auto"/>
                      </w:divBdr>
                      <w:divsChild>
                        <w:div w:id="862015018">
                          <w:marLeft w:val="0"/>
                          <w:marRight w:val="0"/>
                          <w:marTop w:val="0"/>
                          <w:marBottom w:val="0"/>
                          <w:divBdr>
                            <w:top w:val="none" w:sz="0" w:space="0" w:color="auto"/>
                            <w:left w:val="none" w:sz="0" w:space="0" w:color="auto"/>
                            <w:bottom w:val="none" w:sz="0" w:space="0" w:color="auto"/>
                            <w:right w:val="none" w:sz="0" w:space="0" w:color="auto"/>
                          </w:divBdr>
                        </w:div>
                        <w:div w:id="766654239">
                          <w:marLeft w:val="0"/>
                          <w:marRight w:val="0"/>
                          <w:marTop w:val="0"/>
                          <w:marBottom w:val="0"/>
                          <w:divBdr>
                            <w:top w:val="none" w:sz="0" w:space="0" w:color="auto"/>
                            <w:left w:val="none" w:sz="0" w:space="0" w:color="auto"/>
                            <w:bottom w:val="none" w:sz="0" w:space="0" w:color="auto"/>
                            <w:right w:val="none" w:sz="0" w:space="0" w:color="auto"/>
                          </w:divBdr>
                        </w:div>
                        <w:div w:id="1109812090">
                          <w:marLeft w:val="0"/>
                          <w:marRight w:val="0"/>
                          <w:marTop w:val="0"/>
                          <w:marBottom w:val="0"/>
                          <w:divBdr>
                            <w:top w:val="none" w:sz="0" w:space="0" w:color="auto"/>
                            <w:left w:val="none" w:sz="0" w:space="0" w:color="auto"/>
                            <w:bottom w:val="none" w:sz="0" w:space="0" w:color="auto"/>
                            <w:right w:val="none" w:sz="0" w:space="0" w:color="auto"/>
                          </w:divBdr>
                        </w:div>
                        <w:div w:id="1650209697">
                          <w:marLeft w:val="0"/>
                          <w:marRight w:val="0"/>
                          <w:marTop w:val="0"/>
                          <w:marBottom w:val="0"/>
                          <w:divBdr>
                            <w:top w:val="none" w:sz="0" w:space="0" w:color="auto"/>
                            <w:left w:val="none" w:sz="0" w:space="0" w:color="auto"/>
                            <w:bottom w:val="none" w:sz="0" w:space="0" w:color="auto"/>
                            <w:right w:val="none" w:sz="0" w:space="0" w:color="auto"/>
                          </w:divBdr>
                        </w:div>
                        <w:div w:id="914169127">
                          <w:marLeft w:val="0"/>
                          <w:marRight w:val="0"/>
                          <w:marTop w:val="0"/>
                          <w:marBottom w:val="0"/>
                          <w:divBdr>
                            <w:top w:val="none" w:sz="0" w:space="0" w:color="auto"/>
                            <w:left w:val="none" w:sz="0" w:space="0" w:color="auto"/>
                            <w:bottom w:val="none" w:sz="0" w:space="0" w:color="auto"/>
                            <w:right w:val="none" w:sz="0" w:space="0" w:color="auto"/>
                          </w:divBdr>
                        </w:div>
                        <w:div w:id="1667436490">
                          <w:marLeft w:val="0"/>
                          <w:marRight w:val="0"/>
                          <w:marTop w:val="0"/>
                          <w:marBottom w:val="0"/>
                          <w:divBdr>
                            <w:top w:val="none" w:sz="0" w:space="0" w:color="auto"/>
                            <w:left w:val="none" w:sz="0" w:space="0" w:color="auto"/>
                            <w:bottom w:val="none" w:sz="0" w:space="0" w:color="auto"/>
                            <w:right w:val="none" w:sz="0" w:space="0" w:color="auto"/>
                          </w:divBdr>
                        </w:div>
                        <w:div w:id="1142770870">
                          <w:marLeft w:val="0"/>
                          <w:marRight w:val="0"/>
                          <w:marTop w:val="0"/>
                          <w:marBottom w:val="0"/>
                          <w:divBdr>
                            <w:top w:val="none" w:sz="0" w:space="0" w:color="auto"/>
                            <w:left w:val="none" w:sz="0" w:space="0" w:color="auto"/>
                            <w:bottom w:val="none" w:sz="0" w:space="0" w:color="auto"/>
                            <w:right w:val="none" w:sz="0" w:space="0" w:color="auto"/>
                          </w:divBdr>
                        </w:div>
                        <w:div w:id="1888301600">
                          <w:marLeft w:val="0"/>
                          <w:marRight w:val="0"/>
                          <w:marTop w:val="0"/>
                          <w:marBottom w:val="0"/>
                          <w:divBdr>
                            <w:top w:val="none" w:sz="0" w:space="0" w:color="auto"/>
                            <w:left w:val="none" w:sz="0" w:space="0" w:color="auto"/>
                            <w:bottom w:val="none" w:sz="0" w:space="0" w:color="auto"/>
                            <w:right w:val="none" w:sz="0" w:space="0" w:color="auto"/>
                          </w:divBdr>
                        </w:div>
                        <w:div w:id="2144077024">
                          <w:marLeft w:val="0"/>
                          <w:marRight w:val="0"/>
                          <w:marTop w:val="0"/>
                          <w:marBottom w:val="0"/>
                          <w:divBdr>
                            <w:top w:val="none" w:sz="0" w:space="0" w:color="auto"/>
                            <w:left w:val="none" w:sz="0" w:space="0" w:color="auto"/>
                            <w:bottom w:val="none" w:sz="0" w:space="0" w:color="auto"/>
                            <w:right w:val="none" w:sz="0" w:space="0" w:color="auto"/>
                          </w:divBdr>
                        </w:div>
                        <w:div w:id="554895862">
                          <w:marLeft w:val="0"/>
                          <w:marRight w:val="0"/>
                          <w:marTop w:val="0"/>
                          <w:marBottom w:val="0"/>
                          <w:divBdr>
                            <w:top w:val="none" w:sz="0" w:space="0" w:color="auto"/>
                            <w:left w:val="none" w:sz="0" w:space="0" w:color="auto"/>
                            <w:bottom w:val="none" w:sz="0" w:space="0" w:color="auto"/>
                            <w:right w:val="none" w:sz="0" w:space="0" w:color="auto"/>
                          </w:divBdr>
                        </w:div>
                        <w:div w:id="690957009">
                          <w:marLeft w:val="0"/>
                          <w:marRight w:val="0"/>
                          <w:marTop w:val="0"/>
                          <w:marBottom w:val="0"/>
                          <w:divBdr>
                            <w:top w:val="none" w:sz="0" w:space="0" w:color="auto"/>
                            <w:left w:val="none" w:sz="0" w:space="0" w:color="auto"/>
                            <w:bottom w:val="none" w:sz="0" w:space="0" w:color="auto"/>
                            <w:right w:val="none" w:sz="0" w:space="0" w:color="auto"/>
                          </w:divBdr>
                        </w:div>
                        <w:div w:id="847796580">
                          <w:marLeft w:val="0"/>
                          <w:marRight w:val="0"/>
                          <w:marTop w:val="0"/>
                          <w:marBottom w:val="0"/>
                          <w:divBdr>
                            <w:top w:val="none" w:sz="0" w:space="0" w:color="auto"/>
                            <w:left w:val="none" w:sz="0" w:space="0" w:color="auto"/>
                            <w:bottom w:val="none" w:sz="0" w:space="0" w:color="auto"/>
                            <w:right w:val="none" w:sz="0" w:space="0" w:color="auto"/>
                          </w:divBdr>
                        </w:div>
                        <w:div w:id="99111018">
                          <w:marLeft w:val="0"/>
                          <w:marRight w:val="0"/>
                          <w:marTop w:val="0"/>
                          <w:marBottom w:val="0"/>
                          <w:divBdr>
                            <w:top w:val="none" w:sz="0" w:space="0" w:color="auto"/>
                            <w:left w:val="none" w:sz="0" w:space="0" w:color="auto"/>
                            <w:bottom w:val="none" w:sz="0" w:space="0" w:color="auto"/>
                            <w:right w:val="none" w:sz="0" w:space="0" w:color="auto"/>
                          </w:divBdr>
                        </w:div>
                        <w:div w:id="575013885">
                          <w:marLeft w:val="0"/>
                          <w:marRight w:val="0"/>
                          <w:marTop w:val="0"/>
                          <w:marBottom w:val="0"/>
                          <w:divBdr>
                            <w:top w:val="none" w:sz="0" w:space="0" w:color="auto"/>
                            <w:left w:val="none" w:sz="0" w:space="0" w:color="auto"/>
                            <w:bottom w:val="none" w:sz="0" w:space="0" w:color="auto"/>
                            <w:right w:val="none" w:sz="0" w:space="0" w:color="auto"/>
                          </w:divBdr>
                        </w:div>
                        <w:div w:id="64962559">
                          <w:marLeft w:val="0"/>
                          <w:marRight w:val="0"/>
                          <w:marTop w:val="0"/>
                          <w:marBottom w:val="0"/>
                          <w:divBdr>
                            <w:top w:val="none" w:sz="0" w:space="0" w:color="auto"/>
                            <w:left w:val="none" w:sz="0" w:space="0" w:color="auto"/>
                            <w:bottom w:val="none" w:sz="0" w:space="0" w:color="auto"/>
                            <w:right w:val="none" w:sz="0" w:space="0" w:color="auto"/>
                          </w:divBdr>
                        </w:div>
                        <w:div w:id="564952055">
                          <w:marLeft w:val="0"/>
                          <w:marRight w:val="0"/>
                          <w:marTop w:val="0"/>
                          <w:marBottom w:val="0"/>
                          <w:divBdr>
                            <w:top w:val="none" w:sz="0" w:space="0" w:color="auto"/>
                            <w:left w:val="none" w:sz="0" w:space="0" w:color="auto"/>
                            <w:bottom w:val="none" w:sz="0" w:space="0" w:color="auto"/>
                            <w:right w:val="none" w:sz="0" w:space="0" w:color="auto"/>
                          </w:divBdr>
                        </w:div>
                        <w:div w:id="1584215778">
                          <w:marLeft w:val="0"/>
                          <w:marRight w:val="0"/>
                          <w:marTop w:val="0"/>
                          <w:marBottom w:val="0"/>
                          <w:divBdr>
                            <w:top w:val="none" w:sz="0" w:space="0" w:color="auto"/>
                            <w:left w:val="none" w:sz="0" w:space="0" w:color="auto"/>
                            <w:bottom w:val="none" w:sz="0" w:space="0" w:color="auto"/>
                            <w:right w:val="none" w:sz="0" w:space="0" w:color="auto"/>
                          </w:divBdr>
                        </w:div>
                        <w:div w:id="32467854">
                          <w:marLeft w:val="0"/>
                          <w:marRight w:val="0"/>
                          <w:marTop w:val="0"/>
                          <w:marBottom w:val="0"/>
                          <w:divBdr>
                            <w:top w:val="none" w:sz="0" w:space="0" w:color="auto"/>
                            <w:left w:val="none" w:sz="0" w:space="0" w:color="auto"/>
                            <w:bottom w:val="none" w:sz="0" w:space="0" w:color="auto"/>
                            <w:right w:val="none" w:sz="0" w:space="0" w:color="auto"/>
                          </w:divBdr>
                        </w:div>
                        <w:div w:id="1444884573">
                          <w:marLeft w:val="0"/>
                          <w:marRight w:val="0"/>
                          <w:marTop w:val="0"/>
                          <w:marBottom w:val="0"/>
                          <w:divBdr>
                            <w:top w:val="none" w:sz="0" w:space="0" w:color="auto"/>
                            <w:left w:val="none" w:sz="0" w:space="0" w:color="auto"/>
                            <w:bottom w:val="none" w:sz="0" w:space="0" w:color="auto"/>
                            <w:right w:val="none" w:sz="0" w:space="0" w:color="auto"/>
                          </w:divBdr>
                        </w:div>
                        <w:div w:id="2032954248">
                          <w:marLeft w:val="0"/>
                          <w:marRight w:val="0"/>
                          <w:marTop w:val="0"/>
                          <w:marBottom w:val="0"/>
                          <w:divBdr>
                            <w:top w:val="none" w:sz="0" w:space="0" w:color="auto"/>
                            <w:left w:val="none" w:sz="0" w:space="0" w:color="auto"/>
                            <w:bottom w:val="none" w:sz="0" w:space="0" w:color="auto"/>
                            <w:right w:val="none" w:sz="0" w:space="0" w:color="auto"/>
                          </w:divBdr>
                        </w:div>
                        <w:div w:id="2000965429">
                          <w:marLeft w:val="0"/>
                          <w:marRight w:val="0"/>
                          <w:marTop w:val="0"/>
                          <w:marBottom w:val="0"/>
                          <w:divBdr>
                            <w:top w:val="none" w:sz="0" w:space="0" w:color="auto"/>
                            <w:left w:val="none" w:sz="0" w:space="0" w:color="auto"/>
                            <w:bottom w:val="none" w:sz="0" w:space="0" w:color="auto"/>
                            <w:right w:val="none" w:sz="0" w:space="0" w:color="auto"/>
                          </w:divBdr>
                        </w:div>
                        <w:div w:id="1379161694">
                          <w:marLeft w:val="0"/>
                          <w:marRight w:val="0"/>
                          <w:marTop w:val="0"/>
                          <w:marBottom w:val="0"/>
                          <w:divBdr>
                            <w:top w:val="none" w:sz="0" w:space="0" w:color="auto"/>
                            <w:left w:val="none" w:sz="0" w:space="0" w:color="auto"/>
                            <w:bottom w:val="none" w:sz="0" w:space="0" w:color="auto"/>
                            <w:right w:val="none" w:sz="0" w:space="0" w:color="auto"/>
                          </w:divBdr>
                        </w:div>
                        <w:div w:id="187761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5319933">
      <w:bodyDiv w:val="1"/>
      <w:marLeft w:val="0"/>
      <w:marRight w:val="0"/>
      <w:marTop w:val="0"/>
      <w:marBottom w:val="0"/>
      <w:divBdr>
        <w:top w:val="none" w:sz="0" w:space="0" w:color="auto"/>
        <w:left w:val="none" w:sz="0" w:space="0" w:color="auto"/>
        <w:bottom w:val="none" w:sz="0" w:space="0" w:color="auto"/>
        <w:right w:val="none" w:sz="0" w:space="0" w:color="auto"/>
      </w:divBdr>
      <w:divsChild>
        <w:div w:id="1748458562">
          <w:marLeft w:val="0"/>
          <w:marRight w:val="0"/>
          <w:marTop w:val="0"/>
          <w:marBottom w:val="0"/>
          <w:divBdr>
            <w:top w:val="none" w:sz="0" w:space="0" w:color="auto"/>
            <w:left w:val="none" w:sz="0" w:space="0" w:color="auto"/>
            <w:bottom w:val="none" w:sz="0" w:space="0" w:color="auto"/>
            <w:right w:val="none" w:sz="0" w:space="0" w:color="auto"/>
          </w:divBdr>
          <w:divsChild>
            <w:div w:id="1766072085">
              <w:marLeft w:val="0"/>
              <w:marRight w:val="0"/>
              <w:marTop w:val="0"/>
              <w:marBottom w:val="0"/>
              <w:divBdr>
                <w:top w:val="none" w:sz="0" w:space="0" w:color="auto"/>
                <w:left w:val="none" w:sz="0" w:space="0" w:color="auto"/>
                <w:bottom w:val="none" w:sz="0" w:space="0" w:color="auto"/>
                <w:right w:val="none" w:sz="0" w:space="0" w:color="auto"/>
              </w:divBdr>
              <w:divsChild>
                <w:div w:id="609556661">
                  <w:marLeft w:val="2925"/>
                  <w:marRight w:val="2775"/>
                  <w:marTop w:val="0"/>
                  <w:marBottom w:val="0"/>
                  <w:divBdr>
                    <w:top w:val="none" w:sz="0" w:space="0" w:color="auto"/>
                    <w:left w:val="none" w:sz="0" w:space="0" w:color="auto"/>
                    <w:bottom w:val="none" w:sz="0" w:space="0" w:color="auto"/>
                    <w:right w:val="none" w:sz="0" w:space="0" w:color="auto"/>
                  </w:divBdr>
                  <w:divsChild>
                    <w:div w:id="2040399600">
                      <w:marLeft w:val="0"/>
                      <w:marRight w:val="0"/>
                      <w:marTop w:val="0"/>
                      <w:marBottom w:val="120"/>
                      <w:divBdr>
                        <w:top w:val="none" w:sz="0" w:space="0" w:color="auto"/>
                        <w:left w:val="none" w:sz="0" w:space="0" w:color="auto"/>
                        <w:bottom w:val="none" w:sz="0" w:space="0" w:color="auto"/>
                        <w:right w:val="none" w:sz="0" w:space="0" w:color="auto"/>
                      </w:divBdr>
                    </w:div>
                    <w:div w:id="1254164365">
                      <w:marLeft w:val="0"/>
                      <w:marRight w:val="0"/>
                      <w:marTop w:val="0"/>
                      <w:marBottom w:val="0"/>
                      <w:divBdr>
                        <w:top w:val="none" w:sz="0" w:space="0" w:color="auto"/>
                        <w:left w:val="none" w:sz="0" w:space="0" w:color="auto"/>
                        <w:bottom w:val="none" w:sz="0" w:space="0" w:color="auto"/>
                        <w:right w:val="none" w:sz="0" w:space="0" w:color="auto"/>
                      </w:divBdr>
                      <w:divsChild>
                        <w:div w:id="891620457">
                          <w:marLeft w:val="0"/>
                          <w:marRight w:val="0"/>
                          <w:marTop w:val="0"/>
                          <w:marBottom w:val="0"/>
                          <w:divBdr>
                            <w:top w:val="none" w:sz="0" w:space="0" w:color="auto"/>
                            <w:left w:val="none" w:sz="0" w:space="0" w:color="auto"/>
                            <w:bottom w:val="none" w:sz="0" w:space="0" w:color="auto"/>
                            <w:right w:val="none" w:sz="0" w:space="0" w:color="auto"/>
                          </w:divBdr>
                        </w:div>
                        <w:div w:id="394666442">
                          <w:marLeft w:val="0"/>
                          <w:marRight w:val="0"/>
                          <w:marTop w:val="0"/>
                          <w:marBottom w:val="0"/>
                          <w:divBdr>
                            <w:top w:val="none" w:sz="0" w:space="0" w:color="auto"/>
                            <w:left w:val="none" w:sz="0" w:space="0" w:color="auto"/>
                            <w:bottom w:val="none" w:sz="0" w:space="0" w:color="auto"/>
                            <w:right w:val="none" w:sz="0" w:space="0" w:color="auto"/>
                          </w:divBdr>
                        </w:div>
                        <w:div w:id="1423529641">
                          <w:marLeft w:val="0"/>
                          <w:marRight w:val="0"/>
                          <w:marTop w:val="0"/>
                          <w:marBottom w:val="0"/>
                          <w:divBdr>
                            <w:top w:val="none" w:sz="0" w:space="0" w:color="auto"/>
                            <w:left w:val="none" w:sz="0" w:space="0" w:color="auto"/>
                            <w:bottom w:val="none" w:sz="0" w:space="0" w:color="auto"/>
                            <w:right w:val="none" w:sz="0" w:space="0" w:color="auto"/>
                          </w:divBdr>
                        </w:div>
                        <w:div w:id="788163279">
                          <w:marLeft w:val="0"/>
                          <w:marRight w:val="0"/>
                          <w:marTop w:val="0"/>
                          <w:marBottom w:val="0"/>
                          <w:divBdr>
                            <w:top w:val="none" w:sz="0" w:space="0" w:color="auto"/>
                            <w:left w:val="none" w:sz="0" w:space="0" w:color="auto"/>
                            <w:bottom w:val="none" w:sz="0" w:space="0" w:color="auto"/>
                            <w:right w:val="none" w:sz="0" w:space="0" w:color="auto"/>
                          </w:divBdr>
                        </w:div>
                        <w:div w:id="797263393">
                          <w:marLeft w:val="0"/>
                          <w:marRight w:val="0"/>
                          <w:marTop w:val="0"/>
                          <w:marBottom w:val="0"/>
                          <w:divBdr>
                            <w:top w:val="none" w:sz="0" w:space="0" w:color="auto"/>
                            <w:left w:val="none" w:sz="0" w:space="0" w:color="auto"/>
                            <w:bottom w:val="none" w:sz="0" w:space="0" w:color="auto"/>
                            <w:right w:val="none" w:sz="0" w:space="0" w:color="auto"/>
                          </w:divBdr>
                        </w:div>
                        <w:div w:id="2082294356">
                          <w:marLeft w:val="0"/>
                          <w:marRight w:val="0"/>
                          <w:marTop w:val="0"/>
                          <w:marBottom w:val="0"/>
                          <w:divBdr>
                            <w:top w:val="none" w:sz="0" w:space="0" w:color="auto"/>
                            <w:left w:val="none" w:sz="0" w:space="0" w:color="auto"/>
                            <w:bottom w:val="none" w:sz="0" w:space="0" w:color="auto"/>
                            <w:right w:val="none" w:sz="0" w:space="0" w:color="auto"/>
                          </w:divBdr>
                        </w:div>
                        <w:div w:id="47398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845</Words>
  <Characters>4823</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2016-08-25T17:46:00Z</dcterms:created>
  <dcterms:modified xsi:type="dcterms:W3CDTF">2016-08-25T17:46:00Z</dcterms:modified>
</cp:coreProperties>
</file>